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9 сентября 2021 г. № 1578-па</w:t>
      </w: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06.07.2022 № 1198-па)</w:t>
      </w: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1325E">
        <w:rPr>
          <w:rFonts w:ascii="Times New Roman" w:hAnsi="Times New Roman" w:cs="Times New Roman"/>
          <w:b/>
          <w:bCs/>
          <w:sz w:val="28"/>
          <w:szCs w:val="28"/>
        </w:rPr>
        <w:t>ОБЕСПЕЧЕНИЕ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1325E">
        <w:rPr>
          <w:rFonts w:ascii="Times New Roman" w:hAnsi="Times New Roman" w:cs="Times New Roman"/>
          <w:b/>
          <w:bCs/>
          <w:sz w:val="28"/>
          <w:szCs w:val="28"/>
        </w:rPr>
        <w:t>КАЧЕСТВА И ДОСТУПНОСТИ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4195B" w:rsidRPr="0071325E" w:rsidRDefault="0024195B" w:rsidP="002419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1325E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1325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24195B" w:rsidRPr="0071325E" w:rsidRDefault="0024195B" w:rsidP="002419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1325E">
        <w:rPr>
          <w:rFonts w:ascii="Times New Roman" w:hAnsi="Times New Roman" w:cs="Times New Roman"/>
          <w:b/>
          <w:bCs/>
          <w:sz w:val="28"/>
          <w:szCs w:val="28"/>
        </w:rPr>
        <w:t>Обеспечение качества и доступности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1325E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24195B" w:rsidTr="00BB20AD">
        <w:tc>
          <w:tcPr>
            <w:tcW w:w="2835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36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24195B" w:rsidTr="00BB20AD">
        <w:tc>
          <w:tcPr>
            <w:tcW w:w="2835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муниципальной программы</w:t>
            </w:r>
          </w:p>
        </w:tc>
        <w:tc>
          <w:tcPr>
            <w:tcW w:w="6236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Управление по физической культуре, спорту и молодежной политике администрации города Комсомольска-на-Амуре Хабаровского края (далее - УФКСиМП);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Хабаровского края (далее - УАиГ);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Муниципальное казенное учреждение "Информационно - методический центр г. Комсомольска-на-Амуре" (далее - МКУ ИМЦ);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Муниципальные образовательные учреждения дополнительного образования детей детские оздоровительно-образовательные (профильные) центры (далее - МОУ ДОД ДОО (п) Ц)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Амурчонок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Буревестник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Муниципальные образовательные учреждения города Комсомольска-на-Амуре (далее - ОУ).</w:t>
            </w:r>
          </w:p>
        </w:tc>
      </w:tr>
      <w:tr w:rsidR="0024195B" w:rsidTr="00BB20AD">
        <w:tc>
          <w:tcPr>
            <w:tcW w:w="2835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236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образования, отвечающего социальным потребностям жителей города Комсомольска-на-Амуре</w:t>
            </w:r>
          </w:p>
        </w:tc>
      </w:tr>
      <w:tr w:rsidR="0024195B" w:rsidTr="00BB20AD">
        <w:tc>
          <w:tcPr>
            <w:tcW w:w="2835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  <w:r w:rsidRPr="0071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236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повышение качества дошкольного образования в системе образования города;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повышение доступности и качества системы общего образования;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и доступности дополнительного образования путем введения механизма персонифицированного финансирования</w:t>
            </w:r>
          </w:p>
        </w:tc>
      </w:tr>
      <w:tr w:rsidR="0024195B" w:rsidTr="00BB20AD">
        <w:tc>
          <w:tcPr>
            <w:tcW w:w="2835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6236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развитие системы дошкольного образования в системе дошкольного воспитания в городе Комсомольске-на-Амуре;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развитие системы общего образования в городе Комсомольске-на-Амуре;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развитие системы дополнительного образования в городе Комсомольске-на-Амуре;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отдельные мероприятия в области образования</w:t>
            </w:r>
          </w:p>
        </w:tc>
      </w:tr>
      <w:tr w:rsidR="0024195B" w:rsidTr="00BB20AD">
        <w:tc>
          <w:tcPr>
            <w:tcW w:w="2835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236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удовлетворенность родителей качеством дошкольного образования;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удовлетворенность родителей качеством общего образования;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удовлетворенность родителей качеством дополнительного образования</w:t>
            </w:r>
          </w:p>
        </w:tc>
      </w:tr>
      <w:tr w:rsidR="0024195B" w:rsidTr="00BB20AD">
        <w:tc>
          <w:tcPr>
            <w:tcW w:w="2835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236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с 2022 года по 2026 год</w:t>
            </w:r>
          </w:p>
        </w:tc>
      </w:tr>
      <w:tr w:rsidR="0024195B" w:rsidTr="00BB20AD">
        <w:tc>
          <w:tcPr>
            <w:tcW w:w="2835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6236" w:type="dxa"/>
          </w:tcPr>
          <w:p w:rsidR="0024195B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Прогнозируемый общий объем финансирования мероприятий Программы составляет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24 018 810,58 тысячи рублей, в том числе: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2022 год - 4 402 092,60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2023 год - 4 893 054,12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2024 год - 5 326 750,75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2025 год - 5 014 075,42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2026 год - 4 382 837,69 тысячи рублей.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- 1 486 877,25 тысячи рублей, в том числе: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2022 год - 301 328,96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2023 год - 293 089,48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2024 год - 297 486,27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2025 год - 297 486,27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2026 год - 297 486,27 тысячи рублей.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за счет сре</w:t>
            </w:r>
            <w:proofErr w:type="gramStart"/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аевого бюджета - 14 162 961,02 тысячи рублей, в том числе: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2022 год - 2 569 274,88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- 2 998 649,55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2024 год - 3 491 649,57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2025 год - 2 551 693,51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2026 год - 2 551 693,51 тысячи рублей.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за счет средств местного бюджета - 8 368 972,31 тысячи рублей, в том числе: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2022 год - 1 531 488,76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2023 год - 1 601 315,09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2024 год - 1 537 614,91 тысячи рублей;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2025 год - 2 164 895,64 тысячи рублей;</w:t>
            </w:r>
          </w:p>
          <w:p w:rsidR="0024195B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2026 год - 1 533 657,91 тысячи рублей.</w:t>
            </w:r>
          </w:p>
        </w:tc>
      </w:tr>
      <w:tr w:rsidR="0024195B" w:rsidTr="00BB20AD">
        <w:tc>
          <w:tcPr>
            <w:tcW w:w="9071" w:type="dxa"/>
            <w:gridSpan w:val="2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8" w:history="1">
              <w:r w:rsidRPr="0071325E">
                <w:rPr>
                  <w:rFonts w:ascii="Times New Roman" w:hAnsi="Times New Roman" w:cs="Times New Roman"/>
                  <w:sz w:val="28"/>
                  <w:szCs w:val="28"/>
                </w:rPr>
                <w:t>постановления</w:t>
              </w:r>
            </w:hyperlink>
            <w:r w:rsidRPr="0071325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06.07.2022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 xml:space="preserve"> 1198-па)</w:t>
            </w:r>
          </w:p>
        </w:tc>
      </w:tr>
      <w:tr w:rsidR="0024195B" w:rsidTr="00BB20AD">
        <w:tc>
          <w:tcPr>
            <w:tcW w:w="2835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6236" w:type="dxa"/>
          </w:tcPr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программы: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сохранение и расширение сети дошкольных образовательных учреждений в городе Комсомольске-на-Амуре;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- удовлетворение потребности населения в услугах дошкольного образования для детей в возрасте от 3 до 7 лет на 100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решение проблемы переуплотнения в дошкольных образовательных учреждениях;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охват детей дошкольного возраста дошкольным образованием на уровне 82,4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дошкольных образовательных организаций педагогическими кадрами, имеющими высшее образование, с 79,5 процентов до 80,0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дошкольных образовательных организаций, имеющих квалификационные категории, с 36,6 процентов до 37,5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организаций дополнительного образования педагогическими кадрами, имеющими высшее образование с 85,5 процентов до 86,7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организаций дополнительного образования, имеющих квалификационные категории, с 48,5 процентов до 49,0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доли педагогических работников общеобразовательных организаций </w:t>
            </w:r>
            <w:r w:rsidRPr="0071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педагогическими кадрами, имеющими высшее образование, с 94,7 процентов до 96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педагогических работников общеобразовательных организаций, имеющих квалификационные категории, с 49,5 процентов до 50,0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составит 95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увеличение доли обучающихся в условиях, соответствующих требованиям федерального государственного образовательного стандарта общего образования, до 95,3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доля обучающихся в муниципальных общеобразовательных учреждениях, занимающихся во вторую (третью) смену, в общей численности, обучающихся в муниципальных общеобразовательных учреждениях составит 3,1 процента;</w:t>
            </w:r>
            <w:proofErr w:type="gramEnd"/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охват учащихся 10 - 11-х классов профильным обучением возрастет до 97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удельный вес численности обучающихся, принявших участие в предметных олимпиадах и конкурсах различного уровня, составит 65,0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укрепление материально-технической базы муниципальных образовательных учреждений;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- 100 процентов оснащение образовательных учреждений современными компьютерными классами, спортивным, технологическим и медицинским оборудованием;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удельный вес образовательных учреждений, участвующих в инновационных образовательных проектах на городском и краевом уровнях составит 70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охват горячим питанием обучающихся общеобразовательных организаций возрастет до 90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сохранение доли учреждений, обеспечивших выполнение муниципального задания на оказание муниципальных услуг (работ), на уровне 100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увеличение доли детей в возрасте от 6 до 18 лет, охваченных отдыхом и оздоровлением, с 78,0 процентов до 82,0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детей, находящихся в трудной жизненной ситуации, охваченных отдыхом и оздоровлением, от числа подлежащих оздоровлению детей, находящихся в трудной жизненной ситуации, в том числе состоящих на учете в органах внутренних дел и комиссиях по делам несовершеннолетних и защите их прав, с 80,0 процентов до 80,4 процентов;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инновационных программ каникулярного отдыха детей, принятых в учреждениях, с 16 до 38;</w:t>
            </w:r>
          </w:p>
          <w:p w:rsidR="0024195B" w:rsidRPr="0071325E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 в возрасте от 5 до 18 лет, получающих услугу по дополнительному образованию в организациях дополнительного образования детей, к общему количеству детей в возрасте от 5 до 18 лет с 87,7 процентов до 90 процентов (с учетом внедрения дистанционных дополнительных образовательных программ);</w:t>
            </w:r>
          </w:p>
          <w:p w:rsidR="0024195B" w:rsidRDefault="0024195B" w:rsidP="00BB20A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1325E">
              <w:rPr>
                <w:rFonts w:ascii="Times New Roman" w:hAnsi="Times New Roman" w:cs="Times New Roman"/>
                <w:sz w:val="28"/>
                <w:szCs w:val="28"/>
              </w:rPr>
              <w:t>- увеличение доли профильных программ для воспитанников учреждений дополнительного образования детей старшего школьного возраста от общего количества дополнительных образовательных программ, реализуемых в организациях дополнительного образования детей, с 37 процентов до 40 процентов.</w:t>
            </w:r>
          </w:p>
        </w:tc>
      </w:tr>
    </w:tbl>
    <w:p w:rsidR="0024195B" w:rsidRDefault="0024195B" w:rsidP="0024195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195B" w:rsidRDefault="0024195B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4195B" w:rsidSect="00DE65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583" w:rsidRDefault="00DE6583" w:rsidP="00DE6583">
      <w:pPr>
        <w:spacing w:after="0" w:line="240" w:lineRule="auto"/>
      </w:pPr>
      <w:r>
        <w:separator/>
      </w:r>
    </w:p>
  </w:endnote>
  <w:endnote w:type="continuationSeparator" w:id="0">
    <w:p w:rsidR="00DE6583" w:rsidRDefault="00DE6583" w:rsidP="00DE6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583" w:rsidRDefault="00DE6583" w:rsidP="00DE6583">
      <w:pPr>
        <w:spacing w:after="0" w:line="240" w:lineRule="auto"/>
      </w:pPr>
      <w:r>
        <w:separator/>
      </w:r>
    </w:p>
  </w:footnote>
  <w:footnote w:type="continuationSeparator" w:id="0">
    <w:p w:rsidR="00DE6583" w:rsidRDefault="00DE6583" w:rsidP="00DE6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5039809"/>
      <w:docPartObj>
        <w:docPartGallery w:val="Page Numbers (Top of Page)"/>
        <w:docPartUnique/>
      </w:docPartObj>
    </w:sdtPr>
    <w:sdtEndPr/>
    <w:sdtContent>
      <w:p w:rsidR="00DE6583" w:rsidRDefault="00DE6583">
        <w:pPr>
          <w:pStyle w:val="a5"/>
          <w:jc w:val="center"/>
        </w:pPr>
        <w:r w:rsidRPr="00DE65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65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65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4195B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DE65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E6583" w:rsidRDefault="00DE658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24195B"/>
    <w:rsid w:val="0034758B"/>
    <w:rsid w:val="007D2CC6"/>
    <w:rsid w:val="00874325"/>
    <w:rsid w:val="009C0AAB"/>
    <w:rsid w:val="00B4250A"/>
    <w:rsid w:val="00D15BE0"/>
    <w:rsid w:val="00D6156E"/>
    <w:rsid w:val="00DE6583"/>
    <w:rsid w:val="00F15764"/>
    <w:rsid w:val="00F2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6583"/>
  </w:style>
  <w:style w:type="paragraph" w:styleId="a7">
    <w:name w:val="footer"/>
    <w:basedOn w:val="a"/>
    <w:link w:val="a8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6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6583"/>
  </w:style>
  <w:style w:type="paragraph" w:styleId="a7">
    <w:name w:val="footer"/>
    <w:basedOn w:val="a"/>
    <w:link w:val="a8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6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A842625E0AFECF28A6C686680CC05500E35AB824B2E8CC7C7121C50C706DB5FE327B19743D5F6A07BD47DC8DEB276C0AAB53B55FA8F15E33A8478Bc8a0A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A76C2-F4DF-4792-A7BA-BEBBEEFC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Кайгородцева А.Н.</cp:lastModifiedBy>
  <cp:revision>3</cp:revision>
  <cp:lastPrinted>2021-11-02T04:15:00Z</cp:lastPrinted>
  <dcterms:created xsi:type="dcterms:W3CDTF">2022-11-02T01:17:00Z</dcterms:created>
  <dcterms:modified xsi:type="dcterms:W3CDTF">2022-11-02T01:20:00Z</dcterms:modified>
</cp:coreProperties>
</file>